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B13B4" w14:textId="0F57EA2D" w:rsidR="00544AE1" w:rsidRDefault="00544AE1" w:rsidP="00444CBE">
      <w:pPr>
        <w:spacing w:after="0"/>
        <w:rPr>
          <w:b/>
          <w:bCs/>
        </w:rPr>
      </w:pPr>
      <w:bookmarkStart w:id="0" w:name="_GoBack"/>
      <w:bookmarkEnd w:id="0"/>
      <w:r w:rsidRPr="00B74DEC">
        <w:rPr>
          <w:b/>
          <w:bCs/>
        </w:rPr>
        <w:t>MRAC Bills</w:t>
      </w:r>
      <w:r w:rsidR="00B74DEC">
        <w:rPr>
          <w:b/>
          <w:bCs/>
        </w:rPr>
        <w:t xml:space="preserve"> for Review</w:t>
      </w:r>
      <w:r w:rsidRPr="00B74DEC">
        <w:rPr>
          <w:b/>
          <w:bCs/>
        </w:rPr>
        <w:t xml:space="preserve">: </w:t>
      </w:r>
    </w:p>
    <w:p w14:paraId="7E4DEEC1" w14:textId="2A6080EB" w:rsidR="00D74214" w:rsidRPr="00B74DEC" w:rsidRDefault="00D74214" w:rsidP="00444CBE">
      <w:pPr>
        <w:spacing w:after="0"/>
        <w:rPr>
          <w:b/>
          <w:bCs/>
        </w:rPr>
      </w:pPr>
      <w:r>
        <w:rPr>
          <w:b/>
          <w:bCs/>
        </w:rPr>
        <w:t>Gray highlight indicate</w:t>
      </w:r>
      <w:r w:rsidR="00791BD4">
        <w:rPr>
          <w:b/>
          <w:bCs/>
        </w:rPr>
        <w:t>s</w:t>
      </w:r>
      <w:r>
        <w:rPr>
          <w:b/>
          <w:bCs/>
        </w:rPr>
        <w:t xml:space="preserve"> </w:t>
      </w:r>
      <w:r w:rsidR="00791BD4">
        <w:rPr>
          <w:b/>
          <w:bCs/>
        </w:rPr>
        <w:t>bills that are moving</w:t>
      </w:r>
      <w:r w:rsidR="00FA75BA">
        <w:rPr>
          <w:b/>
          <w:bCs/>
        </w:rPr>
        <w:t>;</w:t>
      </w:r>
      <w:r>
        <w:rPr>
          <w:b/>
          <w:bCs/>
        </w:rPr>
        <w:t xml:space="preserve"> (m) = minority members </w:t>
      </w:r>
    </w:p>
    <w:tbl>
      <w:tblPr>
        <w:tblStyle w:val="TableGrid"/>
        <w:tblW w:w="14310" w:type="dxa"/>
        <w:tblInd w:w="-612" w:type="dxa"/>
        <w:tblLook w:val="04A0" w:firstRow="1" w:lastRow="0" w:firstColumn="1" w:lastColumn="0" w:noHBand="0" w:noVBand="1"/>
      </w:tblPr>
      <w:tblGrid>
        <w:gridCol w:w="1758"/>
        <w:gridCol w:w="1853"/>
        <w:gridCol w:w="2419"/>
        <w:gridCol w:w="8280"/>
      </w:tblGrid>
      <w:tr w:rsidR="00B74DEC" w:rsidRPr="00544AE1" w14:paraId="4AD7893D" w14:textId="77777777" w:rsidTr="00444CBE">
        <w:trPr>
          <w:trHeight w:val="530"/>
        </w:trPr>
        <w:tc>
          <w:tcPr>
            <w:tcW w:w="1758" w:type="dxa"/>
            <w:shd w:val="clear" w:color="auto" w:fill="E7E6E6" w:themeFill="background2"/>
          </w:tcPr>
          <w:p w14:paraId="1FE2566F" w14:textId="77777777" w:rsidR="00B74DEC" w:rsidRPr="00544AE1" w:rsidRDefault="00B74DEC" w:rsidP="00544AE1">
            <w:pPr>
              <w:jc w:val="center"/>
              <w:rPr>
                <w:b/>
                <w:bCs/>
              </w:rPr>
            </w:pPr>
            <w:r w:rsidRPr="00544AE1">
              <w:rPr>
                <w:b/>
                <w:bCs/>
              </w:rPr>
              <w:t>Senate Bill</w:t>
            </w:r>
          </w:p>
        </w:tc>
        <w:tc>
          <w:tcPr>
            <w:tcW w:w="1853" w:type="dxa"/>
            <w:shd w:val="clear" w:color="auto" w:fill="E7E6E6" w:themeFill="background2"/>
          </w:tcPr>
          <w:p w14:paraId="491AA449" w14:textId="77777777" w:rsidR="00B74DEC" w:rsidRPr="00544AE1" w:rsidRDefault="00B74DEC" w:rsidP="00544AE1">
            <w:pPr>
              <w:jc w:val="center"/>
              <w:rPr>
                <w:b/>
                <w:bCs/>
              </w:rPr>
            </w:pPr>
            <w:r w:rsidRPr="00544AE1">
              <w:rPr>
                <w:b/>
                <w:bCs/>
              </w:rPr>
              <w:t>Assembly Bill</w:t>
            </w:r>
          </w:p>
        </w:tc>
        <w:tc>
          <w:tcPr>
            <w:tcW w:w="2419" w:type="dxa"/>
            <w:shd w:val="clear" w:color="auto" w:fill="E7E6E6" w:themeFill="background2"/>
          </w:tcPr>
          <w:p w14:paraId="1E1D54B2" w14:textId="77777777" w:rsidR="00B74DEC" w:rsidRPr="00544AE1" w:rsidRDefault="00B74DEC" w:rsidP="00544AE1">
            <w:pPr>
              <w:jc w:val="center"/>
              <w:rPr>
                <w:b/>
                <w:bCs/>
              </w:rPr>
            </w:pPr>
            <w:r w:rsidRPr="00544AE1">
              <w:rPr>
                <w:b/>
                <w:bCs/>
              </w:rPr>
              <w:t>Status</w:t>
            </w:r>
          </w:p>
        </w:tc>
        <w:tc>
          <w:tcPr>
            <w:tcW w:w="8280" w:type="dxa"/>
            <w:shd w:val="clear" w:color="auto" w:fill="E7E6E6" w:themeFill="background2"/>
          </w:tcPr>
          <w:p w14:paraId="6646F1C6" w14:textId="77777777" w:rsidR="00B74DEC" w:rsidRPr="00544AE1" w:rsidRDefault="00B74DEC" w:rsidP="00544AE1">
            <w:pPr>
              <w:jc w:val="center"/>
              <w:rPr>
                <w:b/>
                <w:bCs/>
              </w:rPr>
            </w:pPr>
            <w:r w:rsidRPr="00544AE1">
              <w:rPr>
                <w:b/>
                <w:bCs/>
              </w:rPr>
              <w:t>Description</w:t>
            </w:r>
          </w:p>
        </w:tc>
      </w:tr>
      <w:tr w:rsidR="00B74DEC" w:rsidRPr="00544AE1" w14:paraId="2687159F" w14:textId="77777777" w:rsidTr="00444CBE">
        <w:trPr>
          <w:trHeight w:val="170"/>
        </w:trPr>
        <w:tc>
          <w:tcPr>
            <w:tcW w:w="1758" w:type="dxa"/>
            <w:shd w:val="clear" w:color="auto" w:fill="FFFFFF" w:themeFill="background1"/>
          </w:tcPr>
          <w:p w14:paraId="6A4A7201" w14:textId="33829C52" w:rsidR="00B74DEC" w:rsidRPr="00544AE1" w:rsidRDefault="00B74DEC" w:rsidP="00B74DEC">
            <w:pPr>
              <w:rPr>
                <w:b/>
                <w:bCs/>
              </w:rPr>
            </w:pPr>
            <w:r>
              <w:t xml:space="preserve">S2261/Palumbo </w:t>
            </w:r>
            <w:r w:rsidR="00D74214">
              <w:t>(m)</w:t>
            </w:r>
          </w:p>
        </w:tc>
        <w:tc>
          <w:tcPr>
            <w:tcW w:w="1853" w:type="dxa"/>
            <w:shd w:val="clear" w:color="auto" w:fill="FFFFFF" w:themeFill="background1"/>
          </w:tcPr>
          <w:p w14:paraId="45049044" w14:textId="48B36852" w:rsidR="00B74DEC" w:rsidRPr="00544AE1" w:rsidRDefault="00B74DEC" w:rsidP="00B74DEC">
            <w:pPr>
              <w:rPr>
                <w:b/>
                <w:bCs/>
              </w:rPr>
            </w:pPr>
            <w:r>
              <w:t>A3853/</w:t>
            </w:r>
            <w:r w:rsidR="00791BD4">
              <w:t xml:space="preserve">Thiele </w:t>
            </w:r>
          </w:p>
        </w:tc>
        <w:tc>
          <w:tcPr>
            <w:tcW w:w="2419" w:type="dxa"/>
            <w:shd w:val="clear" w:color="auto" w:fill="FFFFFF" w:themeFill="background1"/>
          </w:tcPr>
          <w:p w14:paraId="1848EA88" w14:textId="77777777" w:rsidR="00B74DEC" w:rsidRPr="00791BD4" w:rsidRDefault="00791BD4" w:rsidP="00B74DEC">
            <w:r w:rsidRPr="00791BD4">
              <w:t>Senate Budget (1.3.24)</w:t>
            </w:r>
          </w:p>
          <w:p w14:paraId="5B1F5CDD" w14:textId="6CC0A70B" w:rsidR="00791BD4" w:rsidRPr="00544AE1" w:rsidRDefault="00791BD4" w:rsidP="00B74DEC">
            <w:pPr>
              <w:rPr>
                <w:b/>
                <w:bCs/>
              </w:rPr>
            </w:pPr>
            <w:r w:rsidRPr="00791BD4">
              <w:t>Assembly WAM (1.3.24)</w:t>
            </w:r>
          </w:p>
        </w:tc>
        <w:tc>
          <w:tcPr>
            <w:tcW w:w="8280" w:type="dxa"/>
            <w:shd w:val="clear" w:color="auto" w:fill="FFFFFF" w:themeFill="background1"/>
          </w:tcPr>
          <w:p w14:paraId="3259C747" w14:textId="77777777" w:rsidR="00B74DEC" w:rsidRDefault="00B74DEC" w:rsidP="00B74DEC">
            <w:r w:rsidRPr="00B74DEC">
              <w:t>Provides motor fuel tax exemption for sales of diesel motor fuel used in vessels used directly in a business providing sport fishing opportunities</w:t>
            </w:r>
          </w:p>
          <w:p w14:paraId="5D3A7428" w14:textId="7D8A84AC" w:rsidR="00444CBE" w:rsidRPr="00B74DEC" w:rsidRDefault="00444CBE" w:rsidP="00B74DEC"/>
        </w:tc>
      </w:tr>
      <w:tr w:rsidR="00B74DEC" w:rsidRPr="00544AE1" w14:paraId="549C3CE2" w14:textId="77777777" w:rsidTr="00444CBE">
        <w:trPr>
          <w:trHeight w:val="170"/>
        </w:trPr>
        <w:tc>
          <w:tcPr>
            <w:tcW w:w="1758" w:type="dxa"/>
            <w:shd w:val="clear" w:color="auto" w:fill="E7E6E6" w:themeFill="background2"/>
          </w:tcPr>
          <w:p w14:paraId="22342BDD" w14:textId="5D1B0C0B" w:rsidR="00B74DEC" w:rsidRDefault="00B74DEC" w:rsidP="00B74DEC">
            <w:r>
              <w:t>S2273/Palumbo</w:t>
            </w:r>
            <w:r w:rsidR="00D74214">
              <w:t xml:space="preserve"> (m)</w:t>
            </w:r>
          </w:p>
        </w:tc>
        <w:tc>
          <w:tcPr>
            <w:tcW w:w="1853" w:type="dxa"/>
            <w:shd w:val="clear" w:color="auto" w:fill="E7E6E6" w:themeFill="background2"/>
          </w:tcPr>
          <w:p w14:paraId="468372C9" w14:textId="56A01C49" w:rsidR="00B74DEC" w:rsidRDefault="00B74DEC" w:rsidP="00B74DEC">
            <w:r>
              <w:t>A5550/Thiele</w:t>
            </w:r>
          </w:p>
        </w:tc>
        <w:tc>
          <w:tcPr>
            <w:tcW w:w="2419" w:type="dxa"/>
            <w:shd w:val="clear" w:color="auto" w:fill="E7E6E6" w:themeFill="background2"/>
          </w:tcPr>
          <w:p w14:paraId="51D9A26A" w14:textId="77777777" w:rsidR="00B74DEC" w:rsidRDefault="00791BD4" w:rsidP="00B74DEC">
            <w:r w:rsidRPr="00791BD4">
              <w:t>Senate Encon (1.3.24)</w:t>
            </w:r>
          </w:p>
          <w:p w14:paraId="3BD75705" w14:textId="3277CD74" w:rsidR="00791BD4" w:rsidRPr="00791BD4" w:rsidRDefault="00791BD4" w:rsidP="00B74DEC">
            <w:r>
              <w:t>Passed Assembly (3.14.24)</w:t>
            </w:r>
          </w:p>
        </w:tc>
        <w:tc>
          <w:tcPr>
            <w:tcW w:w="8280" w:type="dxa"/>
            <w:shd w:val="clear" w:color="auto" w:fill="E7E6E6" w:themeFill="background2"/>
          </w:tcPr>
          <w:p w14:paraId="3864835F" w14:textId="77777777" w:rsidR="00B74DEC" w:rsidRDefault="00B74DEC" w:rsidP="00B74DEC">
            <w:r w:rsidRPr="00B74DEC">
              <w:t>Designates the Montauk Point shoals as an important bird area, and directs the commissioner of environmental conservation to designate such area as part of the New York state bird conservation area program</w:t>
            </w:r>
          </w:p>
          <w:p w14:paraId="4F323807" w14:textId="7C8BFB5C" w:rsidR="00444CBE" w:rsidRPr="00B74DEC" w:rsidRDefault="00444CBE" w:rsidP="00B74DEC"/>
        </w:tc>
      </w:tr>
      <w:tr w:rsidR="00B74DEC" w:rsidRPr="00544AE1" w14:paraId="4B71014F" w14:textId="77777777" w:rsidTr="00444CBE">
        <w:trPr>
          <w:trHeight w:val="170"/>
        </w:trPr>
        <w:tc>
          <w:tcPr>
            <w:tcW w:w="1758" w:type="dxa"/>
            <w:shd w:val="clear" w:color="auto" w:fill="FFFFFF" w:themeFill="background1"/>
          </w:tcPr>
          <w:p w14:paraId="350ACFAB" w14:textId="16A5502F" w:rsidR="00B74DEC" w:rsidRDefault="00B74DEC" w:rsidP="00B74DEC">
            <w:r>
              <w:t>S2808/Lanza</w:t>
            </w:r>
            <w:r w:rsidR="00D74214">
              <w:t xml:space="preserve"> (m)</w:t>
            </w:r>
          </w:p>
        </w:tc>
        <w:tc>
          <w:tcPr>
            <w:tcW w:w="1853" w:type="dxa"/>
            <w:shd w:val="clear" w:color="auto" w:fill="FFFFFF" w:themeFill="background1"/>
          </w:tcPr>
          <w:p w14:paraId="7ACDA2FE" w14:textId="5170DB8B" w:rsidR="00B74DEC" w:rsidRDefault="00B74DEC" w:rsidP="00B74DEC">
            <w:r>
              <w:t>A1821/</w:t>
            </w:r>
            <w:r w:rsidR="00791BD4">
              <w:t xml:space="preserve">Colton </w:t>
            </w:r>
          </w:p>
        </w:tc>
        <w:tc>
          <w:tcPr>
            <w:tcW w:w="2419" w:type="dxa"/>
            <w:shd w:val="clear" w:color="auto" w:fill="FFFFFF" w:themeFill="background1"/>
          </w:tcPr>
          <w:p w14:paraId="00538E86" w14:textId="77777777" w:rsidR="00791BD4" w:rsidRPr="00791BD4" w:rsidRDefault="00791BD4" w:rsidP="00791BD4">
            <w:r w:rsidRPr="00791BD4">
              <w:t>Senate Encon (1.3.24)</w:t>
            </w:r>
          </w:p>
          <w:p w14:paraId="3DF2DC3D" w14:textId="208F69D9" w:rsidR="00B74DEC" w:rsidRPr="00791BD4" w:rsidRDefault="00791BD4" w:rsidP="00791BD4">
            <w:r w:rsidRPr="00791BD4">
              <w:t>Assembly Encon (1.3.24)</w:t>
            </w:r>
          </w:p>
        </w:tc>
        <w:tc>
          <w:tcPr>
            <w:tcW w:w="8280" w:type="dxa"/>
            <w:shd w:val="clear" w:color="auto" w:fill="FFFFFF" w:themeFill="background1"/>
          </w:tcPr>
          <w:p w14:paraId="28F7F4A4" w14:textId="25AD9C20" w:rsidR="00B74DEC" w:rsidRPr="00B74DEC" w:rsidRDefault="00B74DEC" w:rsidP="00B74DEC">
            <w:r w:rsidRPr="00B74DEC">
              <w:t>Prohibits disposal of spoils containing toxic pollutants into the waters of the marine district</w:t>
            </w:r>
          </w:p>
        </w:tc>
      </w:tr>
      <w:tr w:rsidR="00B74DEC" w:rsidRPr="00544AE1" w14:paraId="46B250CF" w14:textId="77777777" w:rsidTr="00444CBE">
        <w:tc>
          <w:tcPr>
            <w:tcW w:w="1758" w:type="dxa"/>
            <w:shd w:val="clear" w:color="auto" w:fill="E7E6E6" w:themeFill="background2"/>
          </w:tcPr>
          <w:p w14:paraId="6ADE2471" w14:textId="58180F45" w:rsidR="00B74DEC" w:rsidRPr="00544AE1" w:rsidRDefault="00B74DEC" w:rsidP="00B74DEC">
            <w:pPr>
              <w:rPr>
                <w:b/>
                <w:bCs/>
              </w:rPr>
            </w:pPr>
            <w:r>
              <w:t>S3185/</w:t>
            </w:r>
            <w:proofErr w:type="spellStart"/>
            <w:r>
              <w:t>Hoylman-Sigal</w:t>
            </w:r>
            <w:proofErr w:type="spellEnd"/>
            <w:r>
              <w:t xml:space="preserve"> </w:t>
            </w:r>
          </w:p>
        </w:tc>
        <w:tc>
          <w:tcPr>
            <w:tcW w:w="1853" w:type="dxa"/>
            <w:shd w:val="clear" w:color="auto" w:fill="E7E6E6" w:themeFill="background2"/>
          </w:tcPr>
          <w:p w14:paraId="6728F59D" w14:textId="2E0EABC6" w:rsidR="00B74DEC" w:rsidRPr="00544AE1" w:rsidRDefault="00B74DEC" w:rsidP="00B74DEC">
            <w:pPr>
              <w:rPr>
                <w:b/>
                <w:bCs/>
              </w:rPr>
            </w:pPr>
            <w:r>
              <w:t>No same as</w:t>
            </w:r>
          </w:p>
        </w:tc>
        <w:tc>
          <w:tcPr>
            <w:tcW w:w="2419" w:type="dxa"/>
            <w:shd w:val="clear" w:color="auto" w:fill="E7E6E6" w:themeFill="background2"/>
          </w:tcPr>
          <w:p w14:paraId="29637DE6" w14:textId="03E09F61" w:rsidR="00B74DEC" w:rsidRPr="00791BD4" w:rsidRDefault="00B74DEC" w:rsidP="00B74DEC">
            <w:r w:rsidRPr="00791BD4">
              <w:t>Senate 3rd Reading (3.14.24)</w:t>
            </w:r>
          </w:p>
        </w:tc>
        <w:tc>
          <w:tcPr>
            <w:tcW w:w="8280" w:type="dxa"/>
            <w:shd w:val="clear" w:color="auto" w:fill="E7E6E6" w:themeFill="background2"/>
          </w:tcPr>
          <w:p w14:paraId="2E1CD24E" w14:textId="77777777" w:rsidR="00B74DEC" w:rsidRDefault="00B74DEC" w:rsidP="00B74DEC">
            <w:r w:rsidRPr="00D74214">
              <w:t>Relates to the management of horseshoe crabs; provides that until December 31, 2028, no person shall take, sell, or possess with intent to sell any horseshoe crab or the eggs of any horseshoe crab, except pursuant to a horseshoe crab bio-medical harvester permit; provides for the repeal of certain provisions of such law upon expiration thereof.</w:t>
            </w:r>
          </w:p>
          <w:p w14:paraId="68E1AFAD" w14:textId="5B4EF48C" w:rsidR="00444CBE" w:rsidRPr="00D74214" w:rsidRDefault="00444CBE" w:rsidP="00B74DEC"/>
        </w:tc>
      </w:tr>
      <w:tr w:rsidR="00B74DEC" w:rsidRPr="00544AE1" w14:paraId="488A5CA2" w14:textId="77777777" w:rsidTr="00444CBE">
        <w:tc>
          <w:tcPr>
            <w:tcW w:w="1758" w:type="dxa"/>
            <w:shd w:val="clear" w:color="auto" w:fill="FFFFFF" w:themeFill="background1"/>
          </w:tcPr>
          <w:p w14:paraId="6B8167E8" w14:textId="011ADDB8" w:rsidR="00B74DEC" w:rsidRPr="00B74DEC" w:rsidRDefault="00D74214" w:rsidP="00B74DEC">
            <w:pPr>
              <w:jc w:val="both"/>
            </w:pPr>
            <w:r w:rsidRPr="00D74214">
              <w:t>S3595</w:t>
            </w:r>
            <w:r>
              <w:t>/</w:t>
            </w:r>
            <w:proofErr w:type="spellStart"/>
            <w:r>
              <w:t>Harckham</w:t>
            </w:r>
            <w:proofErr w:type="spellEnd"/>
          </w:p>
        </w:tc>
        <w:tc>
          <w:tcPr>
            <w:tcW w:w="1853" w:type="dxa"/>
            <w:shd w:val="clear" w:color="auto" w:fill="FFFFFF" w:themeFill="background1"/>
          </w:tcPr>
          <w:p w14:paraId="5E7C31A8" w14:textId="31A9F6D6" w:rsidR="00B74DEC" w:rsidRPr="00D74214" w:rsidRDefault="00D74214" w:rsidP="00B74DEC">
            <w:pPr>
              <w:jc w:val="both"/>
            </w:pPr>
            <w:r w:rsidRPr="00D74214">
              <w:t>No Same as</w:t>
            </w:r>
          </w:p>
        </w:tc>
        <w:tc>
          <w:tcPr>
            <w:tcW w:w="2419" w:type="dxa"/>
            <w:shd w:val="clear" w:color="auto" w:fill="FFFFFF" w:themeFill="background1"/>
          </w:tcPr>
          <w:p w14:paraId="5D89D5F7" w14:textId="3EEDBA4A" w:rsidR="00B74DEC" w:rsidRPr="00791BD4" w:rsidRDefault="00791BD4" w:rsidP="00B74DEC">
            <w:pPr>
              <w:jc w:val="both"/>
            </w:pPr>
            <w:r w:rsidRPr="00791BD4">
              <w:t>Senate Encon (1.3.24)</w:t>
            </w:r>
          </w:p>
        </w:tc>
        <w:tc>
          <w:tcPr>
            <w:tcW w:w="8280" w:type="dxa"/>
            <w:shd w:val="clear" w:color="auto" w:fill="FFFFFF" w:themeFill="background1"/>
          </w:tcPr>
          <w:p w14:paraId="3F25020B" w14:textId="77777777" w:rsidR="00B74DEC" w:rsidRDefault="00791BD4" w:rsidP="00B74DEC">
            <w:pPr>
              <w:jc w:val="both"/>
            </w:pPr>
            <w:r w:rsidRPr="00791BD4">
              <w:t>Establishes a</w:t>
            </w:r>
            <w:r>
              <w:t xml:space="preserve"> </w:t>
            </w:r>
            <w:r w:rsidRPr="00791BD4">
              <w:t>thirteen-member marine fisheries licensing task force to make recommendations within the department of environmental conservation for proposed laws and regulations for commercial licensing of marine fisheries; requires a report to the legislature and governor; makes related provisions.</w:t>
            </w:r>
          </w:p>
          <w:p w14:paraId="0BE26011" w14:textId="5758F6F6" w:rsidR="00444CBE" w:rsidRPr="00D74214" w:rsidRDefault="00444CBE" w:rsidP="00B74DEC">
            <w:pPr>
              <w:jc w:val="both"/>
            </w:pPr>
          </w:p>
        </w:tc>
      </w:tr>
      <w:tr w:rsidR="00B74DEC" w:rsidRPr="00544AE1" w14:paraId="1FA1F0E0" w14:textId="77777777" w:rsidTr="00444CBE">
        <w:tc>
          <w:tcPr>
            <w:tcW w:w="1758" w:type="dxa"/>
            <w:shd w:val="clear" w:color="auto" w:fill="FFFFFF" w:themeFill="background1"/>
          </w:tcPr>
          <w:p w14:paraId="4BAF2E5B" w14:textId="48B10CC0" w:rsidR="00B74DEC" w:rsidRPr="00D74214" w:rsidRDefault="00D74214" w:rsidP="00B74DEC">
            <w:pPr>
              <w:jc w:val="both"/>
            </w:pPr>
            <w:r>
              <w:t xml:space="preserve">S4059/Mannion </w:t>
            </w:r>
          </w:p>
        </w:tc>
        <w:tc>
          <w:tcPr>
            <w:tcW w:w="1853" w:type="dxa"/>
            <w:shd w:val="clear" w:color="auto" w:fill="FFFFFF" w:themeFill="background1"/>
          </w:tcPr>
          <w:p w14:paraId="1A922916" w14:textId="580364CF" w:rsidR="00B74DEC" w:rsidRPr="00D74214" w:rsidRDefault="00D74214" w:rsidP="00B74DEC">
            <w:pPr>
              <w:jc w:val="both"/>
            </w:pPr>
            <w:r>
              <w:t>A2979/</w:t>
            </w:r>
            <w:r w:rsidR="00791BD4">
              <w:t>Thiele</w:t>
            </w:r>
          </w:p>
        </w:tc>
        <w:tc>
          <w:tcPr>
            <w:tcW w:w="2419" w:type="dxa"/>
            <w:shd w:val="clear" w:color="auto" w:fill="FFFFFF" w:themeFill="background1"/>
          </w:tcPr>
          <w:p w14:paraId="5F5409EB" w14:textId="220BA588" w:rsidR="00791BD4" w:rsidRDefault="00791BD4" w:rsidP="00791BD4">
            <w:r>
              <w:t>Senate Ag (1.3.24)</w:t>
            </w:r>
          </w:p>
          <w:p w14:paraId="743EE42A" w14:textId="360D5F47" w:rsidR="00B74DEC" w:rsidRPr="00791BD4" w:rsidRDefault="00791BD4" w:rsidP="00791BD4">
            <w:pPr>
              <w:jc w:val="both"/>
            </w:pPr>
            <w:r>
              <w:t>Assembly Encon (1.3.24)</w:t>
            </w:r>
          </w:p>
        </w:tc>
        <w:tc>
          <w:tcPr>
            <w:tcW w:w="8280" w:type="dxa"/>
            <w:shd w:val="clear" w:color="auto" w:fill="FFFFFF" w:themeFill="background1"/>
          </w:tcPr>
          <w:p w14:paraId="7A18C0D1" w14:textId="77777777" w:rsidR="00B74DEC" w:rsidRDefault="00444CBE" w:rsidP="00B74DEC">
            <w:pPr>
              <w:jc w:val="both"/>
            </w:pPr>
            <w:r w:rsidRPr="00444CBE">
              <w:t>Establishes a state commercial fishing industry advocate and a commercial fishing economic development program to promote the state's commercial fishing industry; defines terms; makes related provisions</w:t>
            </w:r>
          </w:p>
          <w:p w14:paraId="2BC421C9" w14:textId="3390F132" w:rsidR="00444CBE" w:rsidRPr="00D74214" w:rsidRDefault="00444CBE" w:rsidP="00B74DEC">
            <w:pPr>
              <w:jc w:val="both"/>
            </w:pPr>
          </w:p>
        </w:tc>
      </w:tr>
      <w:tr w:rsidR="00B74DEC" w:rsidRPr="00544AE1" w14:paraId="2AA26EA8" w14:textId="77777777" w:rsidTr="00444CBE">
        <w:tc>
          <w:tcPr>
            <w:tcW w:w="1758" w:type="dxa"/>
            <w:shd w:val="clear" w:color="auto" w:fill="FFFFFF" w:themeFill="background1"/>
          </w:tcPr>
          <w:p w14:paraId="38715EDA" w14:textId="421BEFF4" w:rsidR="00B74DEC" w:rsidRPr="00D74214" w:rsidRDefault="00D74214" w:rsidP="00B74DEC">
            <w:pPr>
              <w:jc w:val="both"/>
            </w:pPr>
            <w:r w:rsidRPr="00D74214">
              <w:t>S6730</w:t>
            </w:r>
            <w:r>
              <w:t>/</w:t>
            </w:r>
            <w:proofErr w:type="spellStart"/>
            <w:r>
              <w:t>Hoylman-Sigal</w:t>
            </w:r>
            <w:proofErr w:type="spellEnd"/>
          </w:p>
        </w:tc>
        <w:tc>
          <w:tcPr>
            <w:tcW w:w="1853" w:type="dxa"/>
            <w:shd w:val="clear" w:color="auto" w:fill="FFFFFF" w:themeFill="background1"/>
          </w:tcPr>
          <w:p w14:paraId="70509A19" w14:textId="6F838CFA" w:rsidR="00B74DEC" w:rsidRPr="00D74214" w:rsidRDefault="00D74214" w:rsidP="00B74DEC">
            <w:pPr>
              <w:jc w:val="both"/>
            </w:pPr>
            <w:r>
              <w:t xml:space="preserve">No same as </w:t>
            </w:r>
          </w:p>
        </w:tc>
        <w:tc>
          <w:tcPr>
            <w:tcW w:w="2419" w:type="dxa"/>
            <w:shd w:val="clear" w:color="auto" w:fill="FFFFFF" w:themeFill="background1"/>
          </w:tcPr>
          <w:p w14:paraId="5F34A72B" w14:textId="3D31410F" w:rsidR="00B74DEC" w:rsidRPr="00791BD4" w:rsidRDefault="00444CBE" w:rsidP="00B74DEC">
            <w:pPr>
              <w:jc w:val="both"/>
            </w:pPr>
            <w:r w:rsidRPr="00444CBE">
              <w:t>Senate Encon (1.3.24)</w:t>
            </w:r>
          </w:p>
        </w:tc>
        <w:tc>
          <w:tcPr>
            <w:tcW w:w="8280" w:type="dxa"/>
            <w:shd w:val="clear" w:color="auto" w:fill="FFFFFF" w:themeFill="background1"/>
          </w:tcPr>
          <w:p w14:paraId="01FE00A8" w14:textId="6E5FB0A4" w:rsidR="00444CBE" w:rsidRPr="00D74214" w:rsidRDefault="00D74214" w:rsidP="00B74DEC">
            <w:pPr>
              <w:jc w:val="both"/>
            </w:pPr>
            <w:r w:rsidRPr="00D74214">
              <w:t>Relates to the regulation of exhaust gas cleaning systems on vessels; and relates to the powers of the department of environmental conservation</w:t>
            </w:r>
          </w:p>
        </w:tc>
      </w:tr>
      <w:tr w:rsidR="00D74214" w:rsidRPr="00544AE1" w14:paraId="738AE722" w14:textId="77777777" w:rsidTr="00444CBE">
        <w:tc>
          <w:tcPr>
            <w:tcW w:w="1758" w:type="dxa"/>
            <w:shd w:val="clear" w:color="auto" w:fill="E7E6E6" w:themeFill="background2"/>
          </w:tcPr>
          <w:p w14:paraId="2EDD5398" w14:textId="1781791F" w:rsidR="00D74214" w:rsidRPr="00D74214" w:rsidRDefault="00D74214" w:rsidP="00B74DEC">
            <w:pPr>
              <w:jc w:val="both"/>
            </w:pPr>
            <w:r w:rsidRPr="00D74214">
              <w:t>S811</w:t>
            </w:r>
            <w:r>
              <w:t>0/Martinez</w:t>
            </w:r>
          </w:p>
        </w:tc>
        <w:tc>
          <w:tcPr>
            <w:tcW w:w="1853" w:type="dxa"/>
            <w:shd w:val="clear" w:color="auto" w:fill="E7E6E6" w:themeFill="background2"/>
          </w:tcPr>
          <w:p w14:paraId="7BDCA8BC" w14:textId="36C39800" w:rsidR="00D74214" w:rsidRDefault="00D74214" w:rsidP="00B74DEC">
            <w:pPr>
              <w:jc w:val="both"/>
            </w:pPr>
            <w:r>
              <w:t>A9015/</w:t>
            </w:r>
            <w:r w:rsidR="00905E61">
              <w:t>Cruz</w:t>
            </w:r>
          </w:p>
        </w:tc>
        <w:tc>
          <w:tcPr>
            <w:tcW w:w="2419" w:type="dxa"/>
            <w:shd w:val="clear" w:color="auto" w:fill="E7E6E6" w:themeFill="background2"/>
          </w:tcPr>
          <w:p w14:paraId="40E620BD" w14:textId="77777777" w:rsidR="00D74214" w:rsidRDefault="00444CBE" w:rsidP="00B74DEC">
            <w:pPr>
              <w:jc w:val="both"/>
            </w:pPr>
            <w:r>
              <w:t>Passed Senate (2.13.24)</w:t>
            </w:r>
          </w:p>
          <w:p w14:paraId="5B422F2E" w14:textId="57C34C35" w:rsidR="00444CBE" w:rsidRPr="00791BD4" w:rsidRDefault="00444CBE" w:rsidP="00B74DEC">
            <w:pPr>
              <w:jc w:val="both"/>
            </w:pPr>
            <w:r>
              <w:t>Assembly Encon (2.2.24)</w:t>
            </w:r>
          </w:p>
        </w:tc>
        <w:tc>
          <w:tcPr>
            <w:tcW w:w="8280" w:type="dxa"/>
            <w:shd w:val="clear" w:color="auto" w:fill="E7E6E6" w:themeFill="background2"/>
          </w:tcPr>
          <w:p w14:paraId="2D63AB5B" w14:textId="2F2E9F60" w:rsidR="00D74214" w:rsidRDefault="00444CBE" w:rsidP="00B74DEC">
            <w:pPr>
              <w:jc w:val="both"/>
            </w:pPr>
            <w:r w:rsidRPr="00444CBE">
              <w:t>Reconvenes the New York state sea level rise task force to review the report and recommendations previously issued by the task force, and to determine the progress made in effectuating</w:t>
            </w:r>
            <w:r>
              <w:t xml:space="preserve"> </w:t>
            </w:r>
            <w:r w:rsidRPr="00444CBE">
              <w:t xml:space="preserve">such recommendations and what recommendations require additional efforts; develop an updated evaluation of ways of protecting New York's remaining coastal ecosystems and natural habitats, and increasing coastal community </w:t>
            </w:r>
            <w:r w:rsidRPr="00444CBE">
              <w:lastRenderedPageBreak/>
              <w:t>resilience in the face of sea level rise, applying the best available science as to sea level rise and its anticipated impacts; and updating previous recommendations and, if appropriate, making new recommendations on sea level rise resiliency.</w:t>
            </w:r>
          </w:p>
          <w:p w14:paraId="1518CD5B" w14:textId="5E962AB6" w:rsidR="00444CBE" w:rsidRPr="00D74214" w:rsidRDefault="00444CBE" w:rsidP="00B74DEC">
            <w:pPr>
              <w:jc w:val="both"/>
            </w:pPr>
          </w:p>
        </w:tc>
      </w:tr>
      <w:tr w:rsidR="00D74214" w:rsidRPr="00544AE1" w14:paraId="172FF3EB" w14:textId="77777777" w:rsidTr="00444CBE">
        <w:tc>
          <w:tcPr>
            <w:tcW w:w="1758" w:type="dxa"/>
            <w:shd w:val="clear" w:color="auto" w:fill="FFFFFF" w:themeFill="background1"/>
          </w:tcPr>
          <w:p w14:paraId="1B07507F" w14:textId="1DE48FEB" w:rsidR="00D74214" w:rsidRPr="00D74214" w:rsidRDefault="00D74214" w:rsidP="00B74DEC">
            <w:pPr>
              <w:jc w:val="both"/>
            </w:pPr>
            <w:r w:rsidRPr="00D74214">
              <w:lastRenderedPageBreak/>
              <w:t>S8877</w:t>
            </w:r>
            <w:r>
              <w:t>/Sanders</w:t>
            </w:r>
          </w:p>
        </w:tc>
        <w:tc>
          <w:tcPr>
            <w:tcW w:w="1853" w:type="dxa"/>
            <w:shd w:val="clear" w:color="auto" w:fill="FFFFFF" w:themeFill="background1"/>
          </w:tcPr>
          <w:p w14:paraId="02A7C566" w14:textId="6ACF5202" w:rsidR="00D74214" w:rsidRDefault="00D74214" w:rsidP="00B74DEC">
            <w:pPr>
              <w:jc w:val="both"/>
            </w:pPr>
            <w:r>
              <w:t xml:space="preserve">A4001/Glick </w:t>
            </w:r>
          </w:p>
        </w:tc>
        <w:tc>
          <w:tcPr>
            <w:tcW w:w="2419" w:type="dxa"/>
            <w:shd w:val="clear" w:color="auto" w:fill="FFFFFF" w:themeFill="background1"/>
          </w:tcPr>
          <w:p w14:paraId="11BE904E" w14:textId="77777777" w:rsidR="00D74214" w:rsidRDefault="00444CBE" w:rsidP="00B74DEC">
            <w:pPr>
              <w:jc w:val="both"/>
            </w:pPr>
            <w:r>
              <w:t>Senate Encon (1.3.24)</w:t>
            </w:r>
          </w:p>
          <w:p w14:paraId="794C8270" w14:textId="2C46828A" w:rsidR="00444CBE" w:rsidRPr="00791BD4" w:rsidRDefault="00444CBE" w:rsidP="00B74DEC">
            <w:pPr>
              <w:jc w:val="both"/>
            </w:pPr>
            <w:r>
              <w:t>Assembly Ways and Means (3.5.24)</w:t>
            </w:r>
          </w:p>
        </w:tc>
        <w:tc>
          <w:tcPr>
            <w:tcW w:w="8280" w:type="dxa"/>
            <w:shd w:val="clear" w:color="auto" w:fill="FFFFFF" w:themeFill="background1"/>
          </w:tcPr>
          <w:p w14:paraId="2C1BE1BE" w14:textId="77777777" w:rsidR="00D74214" w:rsidRDefault="00444CBE" w:rsidP="00444CBE">
            <w:pPr>
              <w:jc w:val="both"/>
            </w:pPr>
            <w:r w:rsidRPr="00444CBE">
              <w:t>Relates to the prevention and mitigation of marine and coastal debris; defines terms; requires the department of environmental conservation to prepare and annually update a marine and coastal debris action plan.</w:t>
            </w:r>
          </w:p>
          <w:p w14:paraId="0734FF39" w14:textId="002970E4" w:rsidR="00444CBE" w:rsidRPr="00D74214" w:rsidRDefault="00444CBE" w:rsidP="00444CBE">
            <w:pPr>
              <w:jc w:val="both"/>
            </w:pPr>
          </w:p>
        </w:tc>
      </w:tr>
      <w:tr w:rsidR="00D74214" w:rsidRPr="00544AE1" w14:paraId="0150E0C9" w14:textId="77777777" w:rsidTr="00444CBE">
        <w:tc>
          <w:tcPr>
            <w:tcW w:w="1758" w:type="dxa"/>
            <w:shd w:val="clear" w:color="auto" w:fill="FFFFFF" w:themeFill="background1"/>
          </w:tcPr>
          <w:p w14:paraId="4255E833" w14:textId="4B103A16" w:rsidR="00D74214" w:rsidRPr="00D74214" w:rsidRDefault="00D74214" w:rsidP="00D74214">
            <w:pPr>
              <w:jc w:val="both"/>
            </w:pPr>
            <w:r w:rsidRPr="00D74214">
              <w:t>No Same as</w:t>
            </w:r>
          </w:p>
        </w:tc>
        <w:tc>
          <w:tcPr>
            <w:tcW w:w="1853" w:type="dxa"/>
            <w:shd w:val="clear" w:color="auto" w:fill="FFFFFF" w:themeFill="background1"/>
          </w:tcPr>
          <w:p w14:paraId="74B9C863" w14:textId="6AC29E85" w:rsidR="00D74214" w:rsidRDefault="00D74214" w:rsidP="00B74DEC">
            <w:pPr>
              <w:jc w:val="both"/>
            </w:pPr>
            <w:r w:rsidRPr="00D74214">
              <w:t>A200</w:t>
            </w:r>
            <w:r>
              <w:t>5/</w:t>
            </w:r>
            <w:r w:rsidRPr="00D74214">
              <w:t>Thiele</w:t>
            </w:r>
          </w:p>
        </w:tc>
        <w:tc>
          <w:tcPr>
            <w:tcW w:w="2419" w:type="dxa"/>
            <w:shd w:val="clear" w:color="auto" w:fill="FFFFFF" w:themeFill="background1"/>
          </w:tcPr>
          <w:p w14:paraId="16497255" w14:textId="04E891FE" w:rsidR="00D74214" w:rsidRPr="00791BD4" w:rsidRDefault="00444CBE" w:rsidP="00B74DEC">
            <w:pPr>
              <w:jc w:val="both"/>
            </w:pPr>
            <w:r>
              <w:t>Assembly Encon (1.3.24)</w:t>
            </w:r>
          </w:p>
        </w:tc>
        <w:tc>
          <w:tcPr>
            <w:tcW w:w="8280" w:type="dxa"/>
            <w:shd w:val="clear" w:color="auto" w:fill="FFFFFF" w:themeFill="background1"/>
          </w:tcPr>
          <w:p w14:paraId="2E526601" w14:textId="77777777" w:rsidR="00D74214" w:rsidRDefault="00444CBE" w:rsidP="00B74DEC">
            <w:pPr>
              <w:jc w:val="both"/>
            </w:pPr>
            <w:r w:rsidRPr="00444CBE">
              <w:t>Provides that where the total number of commercial food fish license, commercial crab permits, commercial whelk and conch licenses, and marine and coastal district party and charter boat license applications from persons who were not issued such license in the previous year exceeds the number of licenses that are available, the department of environmental conservation shall randomly select recipients of the available licenses from among those applications received by the first business day of the applicable license year; provides for a temporary authorization where in the event of a temporary emergency, a licensee or permittee may provide written authorization for a person to temporarily undertake any licensed activities on the licensee's or permittee's behalf; makes related provisions.</w:t>
            </w:r>
            <w:r>
              <w:t xml:space="preserve"> (LaPointe Recommendations) </w:t>
            </w:r>
          </w:p>
          <w:p w14:paraId="1AB3DDCE" w14:textId="29C190AD" w:rsidR="00444CBE" w:rsidRPr="00D74214" w:rsidRDefault="00444CBE" w:rsidP="00B74DEC">
            <w:pPr>
              <w:jc w:val="both"/>
            </w:pPr>
          </w:p>
        </w:tc>
      </w:tr>
      <w:tr w:rsidR="00D74214" w:rsidRPr="00544AE1" w14:paraId="0F076C1D" w14:textId="77777777" w:rsidTr="00444CBE">
        <w:tc>
          <w:tcPr>
            <w:tcW w:w="1758" w:type="dxa"/>
            <w:shd w:val="clear" w:color="auto" w:fill="FFFFFF" w:themeFill="background1"/>
          </w:tcPr>
          <w:p w14:paraId="5D3505C1" w14:textId="6CEB318B" w:rsidR="00D74214" w:rsidRPr="00D74214" w:rsidRDefault="00D74214" w:rsidP="00B74DEC">
            <w:pPr>
              <w:jc w:val="both"/>
            </w:pPr>
            <w:r w:rsidRPr="00D74214">
              <w:t>No Same as</w:t>
            </w:r>
          </w:p>
        </w:tc>
        <w:tc>
          <w:tcPr>
            <w:tcW w:w="1853" w:type="dxa"/>
            <w:shd w:val="clear" w:color="auto" w:fill="FFFFFF" w:themeFill="background1"/>
          </w:tcPr>
          <w:p w14:paraId="562AB500" w14:textId="2DC46BEC" w:rsidR="00D74214" w:rsidRDefault="00D74214" w:rsidP="00B74DEC">
            <w:pPr>
              <w:jc w:val="both"/>
            </w:pPr>
            <w:r w:rsidRPr="00D74214">
              <w:t>A4817</w:t>
            </w:r>
            <w:r>
              <w:t>/</w:t>
            </w:r>
            <w:r w:rsidRPr="00D74214">
              <w:t xml:space="preserve">Thiele </w:t>
            </w:r>
          </w:p>
        </w:tc>
        <w:tc>
          <w:tcPr>
            <w:tcW w:w="2419" w:type="dxa"/>
            <w:shd w:val="clear" w:color="auto" w:fill="FFFFFF" w:themeFill="background1"/>
          </w:tcPr>
          <w:p w14:paraId="3F6EA375" w14:textId="6BA42BC6" w:rsidR="00D74214" w:rsidRPr="00791BD4" w:rsidRDefault="00444CBE" w:rsidP="00B74DEC">
            <w:pPr>
              <w:jc w:val="both"/>
            </w:pPr>
            <w:r>
              <w:t>Assembly</w:t>
            </w:r>
            <w:r w:rsidRPr="00444CBE">
              <w:t xml:space="preserve"> Encon (1.3.24)</w:t>
            </w:r>
          </w:p>
        </w:tc>
        <w:tc>
          <w:tcPr>
            <w:tcW w:w="8280" w:type="dxa"/>
            <w:shd w:val="clear" w:color="auto" w:fill="FFFFFF" w:themeFill="background1"/>
          </w:tcPr>
          <w:p w14:paraId="2B604BF8" w14:textId="77777777" w:rsidR="00D74214" w:rsidRDefault="00D74214" w:rsidP="00B74DEC">
            <w:pPr>
              <w:jc w:val="both"/>
            </w:pPr>
            <w:r w:rsidRPr="00D74214">
              <w:t>Relates to the leasing of state-owned underwater lands for seaweed cultivation</w:t>
            </w:r>
          </w:p>
          <w:p w14:paraId="12818CE8" w14:textId="73519568" w:rsidR="00444CBE" w:rsidRPr="00D74214" w:rsidRDefault="00444CBE" w:rsidP="00B74DEC">
            <w:pPr>
              <w:jc w:val="both"/>
            </w:pPr>
          </w:p>
        </w:tc>
      </w:tr>
      <w:tr w:rsidR="00D74214" w:rsidRPr="00544AE1" w14:paraId="5148C62A" w14:textId="77777777" w:rsidTr="00444CBE">
        <w:tc>
          <w:tcPr>
            <w:tcW w:w="1758" w:type="dxa"/>
            <w:shd w:val="clear" w:color="auto" w:fill="FFFFFF" w:themeFill="background1"/>
          </w:tcPr>
          <w:p w14:paraId="00B2D7C0" w14:textId="06B53122" w:rsidR="00D74214" w:rsidRPr="00D74214" w:rsidRDefault="00D74214" w:rsidP="00B74DEC">
            <w:pPr>
              <w:jc w:val="both"/>
            </w:pPr>
            <w:r w:rsidRPr="00D74214">
              <w:t>No Same as</w:t>
            </w:r>
          </w:p>
        </w:tc>
        <w:tc>
          <w:tcPr>
            <w:tcW w:w="1853" w:type="dxa"/>
            <w:shd w:val="clear" w:color="auto" w:fill="FFFFFF" w:themeFill="background1"/>
          </w:tcPr>
          <w:p w14:paraId="680B7EB9" w14:textId="58FD4240" w:rsidR="00D74214" w:rsidRPr="00D74214" w:rsidRDefault="00D74214" w:rsidP="00B74DEC">
            <w:pPr>
              <w:jc w:val="both"/>
            </w:pPr>
            <w:r w:rsidRPr="00D74214">
              <w:t>A4849</w:t>
            </w:r>
            <w:r>
              <w:t>/</w:t>
            </w:r>
            <w:proofErr w:type="spellStart"/>
            <w:r w:rsidRPr="00D74214">
              <w:t>Palmesano</w:t>
            </w:r>
            <w:proofErr w:type="spellEnd"/>
            <w:r>
              <w:t xml:space="preserve"> (m)</w:t>
            </w:r>
          </w:p>
        </w:tc>
        <w:tc>
          <w:tcPr>
            <w:tcW w:w="2419" w:type="dxa"/>
            <w:shd w:val="clear" w:color="auto" w:fill="FFFFFF" w:themeFill="background1"/>
          </w:tcPr>
          <w:p w14:paraId="1C0962DC" w14:textId="7E128B8B" w:rsidR="00D74214" w:rsidRPr="00791BD4" w:rsidRDefault="00444CBE" w:rsidP="00B74DEC">
            <w:pPr>
              <w:jc w:val="both"/>
            </w:pPr>
            <w:r>
              <w:t>Assembly Transportation (1.3.24)</w:t>
            </w:r>
          </w:p>
        </w:tc>
        <w:tc>
          <w:tcPr>
            <w:tcW w:w="8280" w:type="dxa"/>
            <w:shd w:val="clear" w:color="auto" w:fill="FFFFFF" w:themeFill="background1"/>
          </w:tcPr>
          <w:p w14:paraId="00F61CF6" w14:textId="77777777" w:rsidR="00D74214" w:rsidRDefault="00444CBE" w:rsidP="00B74DEC">
            <w:pPr>
              <w:jc w:val="both"/>
            </w:pPr>
            <w:r w:rsidRPr="00444CBE">
              <w:t>Establishes the marine electric propulsion health and environmental impact program to provide education, advocacy and increased awareness of the environmental and health impacts of marine electric propulsion systems.</w:t>
            </w:r>
          </w:p>
          <w:p w14:paraId="2F22489F" w14:textId="6C69FB6C" w:rsidR="00444CBE" w:rsidRPr="00D74214" w:rsidRDefault="00444CBE" w:rsidP="00B74DEC">
            <w:pPr>
              <w:jc w:val="both"/>
            </w:pPr>
          </w:p>
        </w:tc>
      </w:tr>
      <w:tr w:rsidR="00D74214" w:rsidRPr="00544AE1" w14:paraId="382D92CC" w14:textId="77777777" w:rsidTr="00444CBE">
        <w:tc>
          <w:tcPr>
            <w:tcW w:w="1758" w:type="dxa"/>
            <w:shd w:val="clear" w:color="auto" w:fill="FFFFFF" w:themeFill="background1"/>
          </w:tcPr>
          <w:p w14:paraId="7CDC176E" w14:textId="55E3D511" w:rsidR="00D74214" w:rsidRPr="00D74214" w:rsidRDefault="00D74214" w:rsidP="00B74DEC">
            <w:pPr>
              <w:jc w:val="both"/>
            </w:pPr>
            <w:r w:rsidRPr="00D74214">
              <w:t>No Same as</w:t>
            </w:r>
          </w:p>
        </w:tc>
        <w:tc>
          <w:tcPr>
            <w:tcW w:w="1853" w:type="dxa"/>
            <w:shd w:val="clear" w:color="auto" w:fill="FFFFFF" w:themeFill="background1"/>
          </w:tcPr>
          <w:p w14:paraId="227BC0C3" w14:textId="39F095AB" w:rsidR="00D74214" w:rsidRPr="00D74214" w:rsidRDefault="00D74214" w:rsidP="00B74DEC">
            <w:pPr>
              <w:jc w:val="both"/>
            </w:pPr>
            <w:r w:rsidRPr="00D74214">
              <w:t>A7528</w:t>
            </w:r>
            <w:r>
              <w:t>/</w:t>
            </w:r>
            <w:r w:rsidRPr="00D74214">
              <w:t>Brown K</w:t>
            </w:r>
            <w:r>
              <w:t xml:space="preserve"> (m)</w:t>
            </w:r>
          </w:p>
        </w:tc>
        <w:tc>
          <w:tcPr>
            <w:tcW w:w="2419" w:type="dxa"/>
            <w:shd w:val="clear" w:color="auto" w:fill="FFFFFF" w:themeFill="background1"/>
          </w:tcPr>
          <w:p w14:paraId="009EBE9A" w14:textId="41EF13CE" w:rsidR="00D74214" w:rsidRPr="00791BD4" w:rsidRDefault="00444CBE" w:rsidP="00B74DEC">
            <w:pPr>
              <w:jc w:val="both"/>
            </w:pPr>
            <w:r>
              <w:t>Assembly Ag (1.3.24)</w:t>
            </w:r>
          </w:p>
        </w:tc>
        <w:tc>
          <w:tcPr>
            <w:tcW w:w="8280" w:type="dxa"/>
            <w:shd w:val="clear" w:color="auto" w:fill="FFFFFF" w:themeFill="background1"/>
          </w:tcPr>
          <w:p w14:paraId="24EB74F0" w14:textId="77777777" w:rsidR="00D74214" w:rsidRDefault="00444CBE" w:rsidP="00B74DEC">
            <w:pPr>
              <w:jc w:val="both"/>
            </w:pPr>
            <w:r w:rsidRPr="00444CBE">
              <w:t xml:space="preserve">Relates to the management, development, and funding of the commercial shellfish aquaculture industry; establishes a director of </w:t>
            </w:r>
            <w:proofErr w:type="spellStart"/>
            <w:r w:rsidRPr="00444CBE">
              <w:t>aquacultural</w:t>
            </w:r>
            <w:proofErr w:type="spellEnd"/>
            <w:r w:rsidRPr="00444CBE">
              <w:t xml:space="preserve"> and maricultural resources position in the department of agriculture and markets.</w:t>
            </w:r>
          </w:p>
          <w:p w14:paraId="6502D18A" w14:textId="37FE0D1C" w:rsidR="00444CBE" w:rsidRPr="00D74214" w:rsidRDefault="00444CBE" w:rsidP="00B74DEC">
            <w:pPr>
              <w:jc w:val="both"/>
            </w:pPr>
          </w:p>
        </w:tc>
      </w:tr>
      <w:tr w:rsidR="00D74214" w:rsidRPr="00544AE1" w14:paraId="08098D37" w14:textId="77777777" w:rsidTr="00444CBE">
        <w:tc>
          <w:tcPr>
            <w:tcW w:w="1758" w:type="dxa"/>
            <w:shd w:val="clear" w:color="auto" w:fill="E7E6E6" w:themeFill="background2"/>
          </w:tcPr>
          <w:p w14:paraId="64E226DC" w14:textId="63A71C61" w:rsidR="00D74214" w:rsidRPr="00D74214" w:rsidRDefault="00D74214" w:rsidP="00B74DEC">
            <w:pPr>
              <w:jc w:val="both"/>
            </w:pPr>
            <w:r>
              <w:t>S4414</w:t>
            </w:r>
            <w:r w:rsidR="00444CBE">
              <w:t>-A</w:t>
            </w:r>
            <w:r>
              <w:t>/</w:t>
            </w:r>
            <w:r w:rsidR="00444CBE">
              <w:t xml:space="preserve">Krueger </w:t>
            </w:r>
          </w:p>
        </w:tc>
        <w:tc>
          <w:tcPr>
            <w:tcW w:w="1853" w:type="dxa"/>
            <w:shd w:val="clear" w:color="auto" w:fill="E7E6E6" w:themeFill="background2"/>
          </w:tcPr>
          <w:p w14:paraId="52F9B57D" w14:textId="46304725" w:rsidR="00D74214" w:rsidRPr="00D74214" w:rsidRDefault="00444CBE" w:rsidP="00B74DEC">
            <w:pPr>
              <w:jc w:val="both"/>
            </w:pPr>
            <w:r>
              <w:t xml:space="preserve">A4943-A/Epstein </w:t>
            </w:r>
          </w:p>
        </w:tc>
        <w:tc>
          <w:tcPr>
            <w:tcW w:w="2419" w:type="dxa"/>
            <w:shd w:val="clear" w:color="auto" w:fill="E7E6E6" w:themeFill="background2"/>
          </w:tcPr>
          <w:p w14:paraId="3BC79455" w14:textId="77777777" w:rsidR="00D74214" w:rsidRDefault="00444CBE" w:rsidP="00B74DEC">
            <w:pPr>
              <w:jc w:val="both"/>
            </w:pPr>
            <w:r>
              <w:t>Senate Encon (1.3.24)</w:t>
            </w:r>
          </w:p>
          <w:p w14:paraId="50B46802" w14:textId="08B0B407" w:rsidR="00444CBE" w:rsidRPr="00791BD4" w:rsidRDefault="00444CBE" w:rsidP="00B74DEC">
            <w:pPr>
              <w:jc w:val="both"/>
            </w:pPr>
            <w:r>
              <w:t>Passed Assembly (3.25.24)</w:t>
            </w:r>
          </w:p>
        </w:tc>
        <w:tc>
          <w:tcPr>
            <w:tcW w:w="8280" w:type="dxa"/>
            <w:shd w:val="clear" w:color="auto" w:fill="E7E6E6" w:themeFill="background2"/>
          </w:tcPr>
          <w:p w14:paraId="3406E846" w14:textId="3B393B29" w:rsidR="00D74214" w:rsidRPr="00D74214" w:rsidRDefault="00444CBE" w:rsidP="00B74DEC">
            <w:pPr>
              <w:jc w:val="both"/>
            </w:pPr>
            <w:r w:rsidRPr="00444CBE">
              <w:t>Relates to prohibiting the sale or distribution of expanded polystyrene containers that are designed or intended to be used for cold storage beginning January 1, 2026.</w:t>
            </w:r>
            <w:r>
              <w:t xml:space="preserve"> (relates to bait)</w:t>
            </w:r>
          </w:p>
        </w:tc>
      </w:tr>
    </w:tbl>
    <w:p w14:paraId="705249B3" w14:textId="77777777" w:rsidR="00544AE1" w:rsidRDefault="00544AE1"/>
    <w:sectPr w:rsidR="00544AE1" w:rsidSect="00001A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E015E"/>
    <w:multiLevelType w:val="hybridMultilevel"/>
    <w:tmpl w:val="3FFC1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AE0"/>
    <w:rsid w:val="00001AE0"/>
    <w:rsid w:val="000815DA"/>
    <w:rsid w:val="00126AFA"/>
    <w:rsid w:val="00175BB4"/>
    <w:rsid w:val="004405CC"/>
    <w:rsid w:val="00444CBE"/>
    <w:rsid w:val="00483174"/>
    <w:rsid w:val="00544AE1"/>
    <w:rsid w:val="005B636A"/>
    <w:rsid w:val="005D2F3A"/>
    <w:rsid w:val="00791BD4"/>
    <w:rsid w:val="007F34F7"/>
    <w:rsid w:val="00905E61"/>
    <w:rsid w:val="00B74DEC"/>
    <w:rsid w:val="00D74214"/>
    <w:rsid w:val="00D74FC8"/>
    <w:rsid w:val="00EF2C80"/>
    <w:rsid w:val="00FA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91E1"/>
  <w15:docId w15:val="{55676F4C-3491-42B3-84B6-3AC8906D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E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2F3A"/>
    <w:pPr>
      <w:spacing w:after="0" w:line="240" w:lineRule="auto"/>
    </w:pPr>
    <w:rPr>
      <w:kern w:val="0"/>
      <w14:ligatures w14:val="none"/>
    </w:rPr>
  </w:style>
  <w:style w:type="paragraph" w:styleId="ListParagraph">
    <w:name w:val="List Paragraph"/>
    <w:basedOn w:val="Normal"/>
    <w:uiPriority w:val="34"/>
    <w:qFormat/>
    <w:rsid w:val="005D2F3A"/>
    <w:pPr>
      <w:spacing w:line="256"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Lenney, Emily K (DEC)</dc:creator>
  <cp:keywords/>
  <dc:description/>
  <cp:lastModifiedBy>Kim Knoll</cp:lastModifiedBy>
  <cp:revision>2</cp:revision>
  <dcterms:created xsi:type="dcterms:W3CDTF">2024-04-04T13:44:00Z</dcterms:created>
  <dcterms:modified xsi:type="dcterms:W3CDTF">2024-04-04T13:44:00Z</dcterms:modified>
</cp:coreProperties>
</file>